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pPr w:leftFromText="141" w:rightFromText="141" w:vertAnchor="page" w:horzAnchor="margin" w:tblpY="3511"/>
        <w:tblW w:w="8926" w:type="dxa"/>
        <w:tblLook w:val="04A0" w:firstRow="1" w:lastRow="0" w:firstColumn="1" w:lastColumn="0" w:noHBand="0" w:noVBand="1"/>
      </w:tblPr>
      <w:tblGrid>
        <w:gridCol w:w="1272"/>
        <w:gridCol w:w="1878"/>
        <w:gridCol w:w="2506"/>
        <w:gridCol w:w="2004"/>
        <w:gridCol w:w="1266"/>
      </w:tblGrid>
      <w:tr w:rsidR="00481AD2" w:rsidTr="007A0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BA72D6" w:rsidP="007A04C2">
            <w:r>
              <w:t xml:space="preserve">  </w:t>
            </w:r>
            <w:r w:rsidR="00BA27DC">
              <w:t xml:space="preserve">         </w:t>
            </w:r>
            <w:r w:rsidR="00481AD2">
              <w:t>Nombre de la variable o etiqueta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Categorías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Clasificación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Unidades de medidas</w:t>
            </w:r>
          </w:p>
        </w:tc>
      </w:tr>
      <w:tr w:rsidR="00481AD2" w:rsidTr="007A0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Genero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Genero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Hombre/ Mujer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Cualitativa/Nominal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---------------</w:t>
            </w:r>
          </w:p>
        </w:tc>
      </w:tr>
      <w:tr w:rsidR="00481AD2" w:rsidTr="007A0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Edad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Edad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Cuantitativa/ratio </w:t>
            </w:r>
          </w:p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continua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Años</w:t>
            </w:r>
          </w:p>
        </w:tc>
      </w:tr>
      <w:tr w:rsidR="00481AD2" w:rsidTr="007A0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Moda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Modelo coche adquirido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A/B/C/D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Cualitativa/Nominal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-------------</w:t>
            </w:r>
          </w:p>
        </w:tc>
      </w:tr>
      <w:tr w:rsidR="00481AD2" w:rsidTr="007A0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PVTA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 coche adquirido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--------------------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Cuantitativa/ratio</w:t>
            </w:r>
          </w:p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continua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Euros</w:t>
            </w:r>
          </w:p>
        </w:tc>
      </w:tr>
      <w:tr w:rsidR="00481AD2" w:rsidTr="007A0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USO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 de uso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Familiar/personal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Cualitativa/nominal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--------------</w:t>
            </w:r>
          </w:p>
        </w:tc>
      </w:tr>
      <w:tr w:rsidR="00481AD2" w:rsidTr="007A0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VAL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Valoración de la marca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mala/mala/Indiferente/</w:t>
            </w:r>
          </w:p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buena/muy buena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Cualitativa/ordinal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1AD2" w:rsidRDefault="00481AD2" w:rsidP="007A04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--------------</w:t>
            </w:r>
          </w:p>
        </w:tc>
      </w:tr>
      <w:tr w:rsidR="00481AD2" w:rsidTr="007A0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:rsidR="00481AD2" w:rsidRDefault="00481AD2" w:rsidP="007A04C2">
            <w:r>
              <w:t>RPC</w:t>
            </w:r>
          </w:p>
        </w:tc>
        <w:tc>
          <w:tcPr>
            <w:tcW w:w="1878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Renta </w:t>
            </w:r>
            <w:r w:rsidR="00404BBB">
              <w:t>per</w:t>
            </w:r>
            <w:r>
              <w:t xml:space="preserve"> cápita familiar</w:t>
            </w:r>
          </w:p>
        </w:tc>
        <w:tc>
          <w:tcPr>
            <w:tcW w:w="250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-------------------</w:t>
            </w:r>
          </w:p>
        </w:tc>
        <w:tc>
          <w:tcPr>
            <w:tcW w:w="2004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Cuantitativa/ratio continua</w:t>
            </w:r>
          </w:p>
        </w:tc>
        <w:tc>
          <w:tcPr>
            <w:tcW w:w="1266" w:type="dxa"/>
          </w:tcPr>
          <w:p w:rsidR="00481AD2" w:rsidRDefault="00481AD2" w:rsidP="007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Euros</w:t>
            </w:r>
          </w:p>
        </w:tc>
      </w:tr>
    </w:tbl>
    <w:p w:rsidR="005D09EF" w:rsidRDefault="007A04C2" w:rsidP="007A04C2">
      <w:pPr>
        <w:pStyle w:val="Prrafodelista"/>
        <w:numPr>
          <w:ilvl w:val="0"/>
          <w:numId w:val="1"/>
        </w:numPr>
      </w:pPr>
      <w:r>
        <w:t>Objetivo del estudio, conocer el perfil del consumidor</w:t>
      </w:r>
    </w:p>
    <w:p w:rsidR="007A04C2" w:rsidRDefault="007A04C2" w:rsidP="007A04C2">
      <w:pPr>
        <w:pStyle w:val="Prrafodelista"/>
        <w:numPr>
          <w:ilvl w:val="0"/>
          <w:numId w:val="1"/>
        </w:numPr>
      </w:pPr>
      <w:r>
        <w:t>Población/Muestra</w:t>
      </w:r>
    </w:p>
    <w:p w:rsidR="007A04C2" w:rsidRDefault="007A04C2" w:rsidP="007A04C2">
      <w:pPr>
        <w:pStyle w:val="Prrafodelista"/>
        <w:numPr>
          <w:ilvl w:val="1"/>
          <w:numId w:val="1"/>
        </w:numPr>
      </w:pPr>
      <w:r>
        <w:t>Población: compradores de coche</w:t>
      </w:r>
    </w:p>
    <w:p w:rsidR="007A04C2" w:rsidRDefault="007A04C2" w:rsidP="007A04C2">
      <w:pPr>
        <w:pStyle w:val="Prrafodelista"/>
        <w:numPr>
          <w:ilvl w:val="1"/>
          <w:numId w:val="1"/>
        </w:numPr>
      </w:pPr>
      <w:r>
        <w:t>Muestra: 100 Compradores</w:t>
      </w:r>
    </w:p>
    <w:p w:rsidR="007A04C2" w:rsidRDefault="00404BBB" w:rsidP="007A04C2">
      <w:pPr>
        <w:pStyle w:val="Prrafodelista"/>
        <w:numPr>
          <w:ilvl w:val="0"/>
          <w:numId w:val="1"/>
        </w:numPr>
      </w:pPr>
      <w:r>
        <w:t>Características</w:t>
      </w:r>
      <w:r w:rsidR="007A04C2">
        <w:t xml:space="preserve"> o variables</w:t>
      </w:r>
    </w:p>
    <w:p w:rsidR="00404BBB" w:rsidRDefault="00404BBB" w:rsidP="00404BBB">
      <w:pPr>
        <w:pStyle w:val="Prrafodelista"/>
        <w:numPr>
          <w:ilvl w:val="1"/>
          <w:numId w:val="1"/>
        </w:numPr>
      </w:pPr>
      <w:r>
        <w:t>Clasificación/unidades de medida</w:t>
      </w:r>
    </w:p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Default="007A04C2" w:rsidP="007A04C2">
      <w:pPr>
        <w:pStyle w:val="Prrafodelista"/>
        <w:numPr>
          <w:ilvl w:val="0"/>
          <w:numId w:val="1"/>
        </w:numPr>
        <w:tabs>
          <w:tab w:val="left" w:pos="915"/>
        </w:tabs>
      </w:pPr>
      <w:r>
        <w:t>Materiales de apoyo</w:t>
      </w:r>
    </w:p>
    <w:p w:rsidR="007A04C2" w:rsidRDefault="00404BBB" w:rsidP="007A04C2">
      <w:pPr>
        <w:pStyle w:val="Prrafodelista"/>
        <w:tabs>
          <w:tab w:val="left" w:pos="915"/>
        </w:tabs>
        <w:ind w:left="915"/>
        <w:rPr>
          <w:u w:val="single"/>
        </w:rPr>
      </w:pPr>
      <w:r>
        <w:rPr>
          <w:u w:val="single"/>
        </w:rPr>
        <w:t xml:space="preserve">4.1 </w:t>
      </w:r>
      <w:r w:rsidR="007A04C2" w:rsidRPr="007A04C2">
        <w:rPr>
          <w:u w:val="single"/>
        </w:rPr>
        <w:t>Variables cualitativas</w:t>
      </w:r>
    </w:p>
    <w:p w:rsidR="007A04C2" w:rsidRDefault="007A04C2" w:rsidP="007A04C2">
      <w:pPr>
        <w:pStyle w:val="Prrafodelista"/>
        <w:tabs>
          <w:tab w:val="left" w:pos="915"/>
        </w:tabs>
        <w:ind w:left="915"/>
        <w:rPr>
          <w:u w:val="single"/>
        </w:rPr>
      </w:pPr>
    </w:p>
    <w:p w:rsidR="007A04C2" w:rsidRDefault="007A04C2" w:rsidP="007A04C2">
      <w:pPr>
        <w:pStyle w:val="Prrafodelista"/>
        <w:numPr>
          <w:ilvl w:val="3"/>
          <w:numId w:val="6"/>
        </w:numPr>
        <w:tabs>
          <w:tab w:val="left" w:pos="915"/>
        </w:tabs>
      </w:pPr>
      <w:r w:rsidRPr="007A04C2">
        <w:t>Medidas numéricas</w:t>
      </w:r>
    </w:p>
    <w:p w:rsidR="007A04C2" w:rsidRDefault="007A04C2" w:rsidP="007A04C2">
      <w:pPr>
        <w:pStyle w:val="Prrafodelista"/>
        <w:numPr>
          <w:ilvl w:val="1"/>
          <w:numId w:val="5"/>
        </w:numPr>
        <w:tabs>
          <w:tab w:val="left" w:pos="915"/>
        </w:tabs>
      </w:pPr>
      <w:r>
        <w:t>Tablas de frecuencia</w:t>
      </w:r>
    </w:p>
    <w:p w:rsidR="007A04C2" w:rsidRDefault="007A04C2" w:rsidP="007A04C2">
      <w:pPr>
        <w:pStyle w:val="Prrafodelista"/>
        <w:numPr>
          <w:ilvl w:val="2"/>
          <w:numId w:val="5"/>
        </w:numPr>
        <w:tabs>
          <w:tab w:val="left" w:pos="915"/>
        </w:tabs>
      </w:pPr>
      <w:r>
        <w:t>Frecuencias absolutas</w:t>
      </w:r>
    </w:p>
    <w:p w:rsidR="007A04C2" w:rsidRDefault="007A04C2" w:rsidP="007A04C2">
      <w:pPr>
        <w:pStyle w:val="Prrafodelista"/>
        <w:numPr>
          <w:ilvl w:val="2"/>
          <w:numId w:val="5"/>
        </w:numPr>
        <w:tabs>
          <w:tab w:val="left" w:pos="915"/>
        </w:tabs>
      </w:pPr>
      <w:r>
        <w:t>Frecuencias relativas (% válido)</w:t>
      </w:r>
    </w:p>
    <w:p w:rsidR="00404BBB" w:rsidRDefault="00404BBB" w:rsidP="007A04C2">
      <w:pPr>
        <w:pStyle w:val="Prrafodelista"/>
        <w:numPr>
          <w:ilvl w:val="2"/>
          <w:numId w:val="5"/>
        </w:numPr>
        <w:tabs>
          <w:tab w:val="left" w:pos="915"/>
        </w:tabs>
      </w:pPr>
      <w:r>
        <w:t>Frecuencias relativas acumuladas (solo para el VAL)</w:t>
      </w:r>
    </w:p>
    <w:p w:rsidR="00404BBB" w:rsidRDefault="00404BBB" w:rsidP="00404BBB">
      <w:pPr>
        <w:pStyle w:val="Prrafodelista"/>
        <w:numPr>
          <w:ilvl w:val="1"/>
          <w:numId w:val="5"/>
        </w:numPr>
        <w:tabs>
          <w:tab w:val="left" w:pos="915"/>
        </w:tabs>
      </w:pPr>
      <w:r>
        <w:t>Gráficos</w:t>
      </w:r>
    </w:p>
    <w:p w:rsidR="00404BBB" w:rsidRDefault="00404BBB" w:rsidP="00404BBB">
      <w:pPr>
        <w:pStyle w:val="Prrafodelista"/>
        <w:numPr>
          <w:ilvl w:val="2"/>
          <w:numId w:val="5"/>
        </w:numPr>
        <w:tabs>
          <w:tab w:val="left" w:pos="915"/>
        </w:tabs>
      </w:pPr>
      <w:r>
        <w:t>Diagrama de barras</w:t>
      </w:r>
    </w:p>
    <w:p w:rsidR="00404BBB" w:rsidRDefault="00404BBB" w:rsidP="00404BBB">
      <w:pPr>
        <w:pStyle w:val="Prrafodelista"/>
        <w:numPr>
          <w:ilvl w:val="3"/>
          <w:numId w:val="5"/>
        </w:numPr>
        <w:tabs>
          <w:tab w:val="left" w:pos="915"/>
        </w:tabs>
      </w:pPr>
      <w:r>
        <w:t>Modelo-Genero</w:t>
      </w:r>
    </w:p>
    <w:p w:rsidR="00404BBB" w:rsidRDefault="00404BBB" w:rsidP="00404BBB">
      <w:pPr>
        <w:pStyle w:val="Prrafodelista"/>
        <w:numPr>
          <w:ilvl w:val="3"/>
          <w:numId w:val="5"/>
        </w:numPr>
        <w:tabs>
          <w:tab w:val="left" w:pos="915"/>
        </w:tabs>
      </w:pPr>
      <w:r>
        <w:t>Modelo-Uso</w:t>
      </w:r>
    </w:p>
    <w:p w:rsidR="00404BBB" w:rsidRDefault="00404BBB" w:rsidP="00404BBB">
      <w:pPr>
        <w:pStyle w:val="Prrafodelista"/>
        <w:tabs>
          <w:tab w:val="left" w:pos="915"/>
        </w:tabs>
        <w:ind w:left="3075"/>
      </w:pPr>
    </w:p>
    <w:p w:rsidR="00404BBB" w:rsidRDefault="00404BBB" w:rsidP="00404BBB">
      <w:pPr>
        <w:pStyle w:val="Prrafodelista"/>
        <w:numPr>
          <w:ilvl w:val="2"/>
          <w:numId w:val="5"/>
        </w:numPr>
        <w:tabs>
          <w:tab w:val="left" w:pos="915"/>
        </w:tabs>
      </w:pPr>
      <w:r>
        <w:t>Diagrama de Sectores</w:t>
      </w:r>
    </w:p>
    <w:p w:rsidR="00404BBB" w:rsidRDefault="00404BBB" w:rsidP="00404BBB">
      <w:pPr>
        <w:pStyle w:val="Prrafodelista"/>
        <w:numPr>
          <w:ilvl w:val="3"/>
          <w:numId w:val="5"/>
        </w:numPr>
        <w:tabs>
          <w:tab w:val="left" w:pos="915"/>
        </w:tabs>
      </w:pPr>
      <w:r>
        <w:t>USO</w:t>
      </w:r>
    </w:p>
    <w:p w:rsidR="00404BBB" w:rsidRDefault="00404BBB" w:rsidP="00404BBB">
      <w:pPr>
        <w:tabs>
          <w:tab w:val="left" w:pos="915"/>
        </w:tabs>
        <w:ind w:left="708"/>
        <w:rPr>
          <w:u w:val="single"/>
        </w:rPr>
      </w:pPr>
    </w:p>
    <w:p w:rsidR="00404BBB" w:rsidRDefault="00404BBB" w:rsidP="00404BBB">
      <w:pPr>
        <w:tabs>
          <w:tab w:val="left" w:pos="915"/>
        </w:tabs>
        <w:ind w:left="708"/>
        <w:rPr>
          <w:u w:val="single"/>
        </w:rPr>
      </w:pPr>
    </w:p>
    <w:p w:rsidR="00404BBB" w:rsidRDefault="00404BBB" w:rsidP="00404BBB">
      <w:pPr>
        <w:tabs>
          <w:tab w:val="left" w:pos="915"/>
        </w:tabs>
        <w:ind w:left="708"/>
        <w:rPr>
          <w:u w:val="single"/>
        </w:rPr>
      </w:pPr>
    </w:p>
    <w:p w:rsidR="00404BBB" w:rsidRDefault="00980F16" w:rsidP="00404BBB">
      <w:pPr>
        <w:tabs>
          <w:tab w:val="left" w:pos="915"/>
        </w:tabs>
        <w:ind w:left="708"/>
        <w:rPr>
          <w:u w:val="single"/>
        </w:rPr>
      </w:pPr>
      <w:r>
        <w:rPr>
          <w:u w:val="single"/>
        </w:rPr>
        <w:lastRenderedPageBreak/>
        <w:t xml:space="preserve"> </w:t>
      </w:r>
    </w:p>
    <w:p w:rsidR="00404BBB" w:rsidRDefault="00404BBB" w:rsidP="00404BBB">
      <w:pPr>
        <w:tabs>
          <w:tab w:val="left" w:pos="915"/>
        </w:tabs>
        <w:ind w:left="708"/>
        <w:rPr>
          <w:u w:val="single"/>
        </w:rPr>
      </w:pPr>
    </w:p>
    <w:p w:rsidR="00404BBB" w:rsidRDefault="00404BBB" w:rsidP="00404BBB">
      <w:pPr>
        <w:tabs>
          <w:tab w:val="left" w:pos="915"/>
        </w:tabs>
        <w:ind w:left="708"/>
        <w:rPr>
          <w:u w:val="single"/>
        </w:rPr>
      </w:pPr>
      <w:r>
        <w:rPr>
          <w:u w:val="single"/>
        </w:rPr>
        <w:t>4.2 Variables</w:t>
      </w:r>
      <w:r w:rsidRPr="00404BBB">
        <w:rPr>
          <w:u w:val="single"/>
        </w:rPr>
        <w:t xml:space="preserve"> Cuantitativas</w:t>
      </w:r>
    </w:p>
    <w:p w:rsidR="00404BBB" w:rsidRDefault="00404BBB" w:rsidP="00404BBB">
      <w:pPr>
        <w:pStyle w:val="Prrafodelista"/>
        <w:numPr>
          <w:ilvl w:val="0"/>
          <w:numId w:val="7"/>
        </w:numPr>
        <w:tabs>
          <w:tab w:val="left" w:pos="915"/>
        </w:tabs>
      </w:pPr>
      <w:r w:rsidRPr="00404BBB">
        <w:t>Medidas numéricas resumen</w:t>
      </w:r>
    </w:p>
    <w:p w:rsidR="00404BBB" w:rsidRDefault="00404BBB" w:rsidP="00404BBB">
      <w:pPr>
        <w:pStyle w:val="Prrafodelista"/>
        <w:numPr>
          <w:ilvl w:val="1"/>
          <w:numId w:val="7"/>
        </w:numPr>
        <w:tabs>
          <w:tab w:val="left" w:pos="915"/>
        </w:tabs>
      </w:pPr>
      <w:r>
        <w:t>Medidas de posición</w:t>
      </w:r>
    </w:p>
    <w:p w:rsidR="00404BBB" w:rsidRDefault="00404BBB" w:rsidP="00404BBB">
      <w:pPr>
        <w:pStyle w:val="Prrafodelista"/>
        <w:numPr>
          <w:ilvl w:val="2"/>
          <w:numId w:val="7"/>
        </w:numPr>
        <w:tabs>
          <w:tab w:val="left" w:pos="915"/>
        </w:tabs>
      </w:pPr>
      <w:r>
        <w:t>Central</w:t>
      </w:r>
    </w:p>
    <w:p w:rsidR="00404BBB" w:rsidRDefault="00404BBB" w:rsidP="00404BBB">
      <w:pPr>
        <w:pStyle w:val="Prrafodelista"/>
        <w:numPr>
          <w:ilvl w:val="3"/>
          <w:numId w:val="7"/>
        </w:numPr>
        <w:tabs>
          <w:tab w:val="left" w:pos="915"/>
        </w:tabs>
      </w:pPr>
      <w:r>
        <w:t>Media</w:t>
      </w:r>
    </w:p>
    <w:p w:rsidR="00404BBB" w:rsidRDefault="00404BBB" w:rsidP="00404BBB">
      <w:pPr>
        <w:pStyle w:val="Prrafodelista"/>
        <w:numPr>
          <w:ilvl w:val="3"/>
          <w:numId w:val="7"/>
        </w:numPr>
        <w:tabs>
          <w:tab w:val="left" w:pos="915"/>
        </w:tabs>
      </w:pPr>
      <w:r>
        <w:t>Mediana</w:t>
      </w:r>
    </w:p>
    <w:p w:rsidR="00404BBB" w:rsidRDefault="00404BBB" w:rsidP="00404BBB">
      <w:pPr>
        <w:pStyle w:val="Prrafodelista"/>
        <w:numPr>
          <w:ilvl w:val="3"/>
          <w:numId w:val="7"/>
        </w:numPr>
        <w:tabs>
          <w:tab w:val="left" w:pos="915"/>
        </w:tabs>
      </w:pPr>
      <w:r>
        <w:t>Moda</w:t>
      </w:r>
    </w:p>
    <w:p w:rsidR="00404BBB" w:rsidRDefault="00404BBB" w:rsidP="00404BBB">
      <w:pPr>
        <w:pStyle w:val="Prrafodelista"/>
        <w:numPr>
          <w:ilvl w:val="2"/>
          <w:numId w:val="7"/>
        </w:numPr>
        <w:tabs>
          <w:tab w:val="left" w:pos="915"/>
        </w:tabs>
      </w:pPr>
      <w:r>
        <w:t>Otras posiciones</w:t>
      </w:r>
    </w:p>
    <w:p w:rsidR="00404BBB" w:rsidRDefault="00404BBB" w:rsidP="00404BBB">
      <w:pPr>
        <w:pStyle w:val="Prrafodelista"/>
        <w:numPr>
          <w:ilvl w:val="3"/>
          <w:numId w:val="7"/>
        </w:numPr>
        <w:tabs>
          <w:tab w:val="left" w:pos="915"/>
        </w:tabs>
      </w:pPr>
      <w:r>
        <w:t>P25</w:t>
      </w:r>
    </w:p>
    <w:p w:rsidR="00404BBB" w:rsidRDefault="00404BBB" w:rsidP="00404BBB">
      <w:pPr>
        <w:pStyle w:val="Prrafodelista"/>
        <w:numPr>
          <w:ilvl w:val="3"/>
          <w:numId w:val="7"/>
        </w:numPr>
        <w:tabs>
          <w:tab w:val="left" w:pos="915"/>
        </w:tabs>
      </w:pPr>
      <w:r>
        <w:t>P75</w:t>
      </w:r>
    </w:p>
    <w:p w:rsidR="00404BBB" w:rsidRDefault="00404BBB" w:rsidP="00404BBB">
      <w:pPr>
        <w:pStyle w:val="Prrafodelista"/>
        <w:numPr>
          <w:ilvl w:val="1"/>
          <w:numId w:val="7"/>
        </w:numPr>
        <w:tabs>
          <w:tab w:val="left" w:pos="915"/>
        </w:tabs>
      </w:pPr>
      <w:r>
        <w:t>Medidas de dispersión</w:t>
      </w:r>
    </w:p>
    <w:p w:rsidR="00404BBB" w:rsidRDefault="00404BBB" w:rsidP="00404BBB">
      <w:pPr>
        <w:pStyle w:val="Prrafodelista"/>
        <w:numPr>
          <w:ilvl w:val="2"/>
          <w:numId w:val="7"/>
        </w:numPr>
        <w:tabs>
          <w:tab w:val="left" w:pos="915"/>
        </w:tabs>
      </w:pPr>
      <w:r>
        <w:t>DT</w:t>
      </w:r>
    </w:p>
    <w:p w:rsidR="00404BBB" w:rsidRDefault="00404BBB" w:rsidP="00404BBB">
      <w:pPr>
        <w:pStyle w:val="Prrafodelista"/>
        <w:numPr>
          <w:ilvl w:val="1"/>
          <w:numId w:val="7"/>
        </w:numPr>
        <w:tabs>
          <w:tab w:val="left" w:pos="915"/>
        </w:tabs>
      </w:pPr>
      <w:r>
        <w:t>Medidas de forma</w:t>
      </w:r>
    </w:p>
    <w:p w:rsidR="00404BBB" w:rsidRDefault="00404BBB" w:rsidP="00404BBB">
      <w:pPr>
        <w:pStyle w:val="Prrafodelista"/>
        <w:numPr>
          <w:ilvl w:val="2"/>
          <w:numId w:val="7"/>
        </w:numPr>
        <w:tabs>
          <w:tab w:val="left" w:pos="915"/>
        </w:tabs>
      </w:pPr>
      <w:r>
        <w:t>Asimetría</w:t>
      </w:r>
    </w:p>
    <w:p w:rsidR="00404BBB" w:rsidRDefault="00404BBB" w:rsidP="00404BBB">
      <w:pPr>
        <w:pStyle w:val="Prrafodelista"/>
        <w:numPr>
          <w:ilvl w:val="2"/>
          <w:numId w:val="7"/>
        </w:numPr>
        <w:tabs>
          <w:tab w:val="left" w:pos="915"/>
        </w:tabs>
      </w:pPr>
      <w:r>
        <w:t>Curtosis</w:t>
      </w:r>
    </w:p>
    <w:p w:rsidR="00404BBB" w:rsidRDefault="00404BBB" w:rsidP="00404BBB">
      <w:pPr>
        <w:pStyle w:val="Prrafodelista"/>
        <w:numPr>
          <w:ilvl w:val="0"/>
          <w:numId w:val="7"/>
        </w:numPr>
        <w:tabs>
          <w:tab w:val="left" w:pos="915"/>
        </w:tabs>
      </w:pPr>
      <w:r>
        <w:t>Gráficos</w:t>
      </w:r>
    </w:p>
    <w:p w:rsidR="00404BBB" w:rsidRDefault="00404BBB" w:rsidP="00404BBB">
      <w:pPr>
        <w:pStyle w:val="Prrafodelista"/>
        <w:numPr>
          <w:ilvl w:val="1"/>
          <w:numId w:val="7"/>
        </w:numPr>
        <w:tabs>
          <w:tab w:val="left" w:pos="915"/>
        </w:tabs>
      </w:pPr>
      <w:r>
        <w:t>Diagrama de caja y bigotes</w:t>
      </w:r>
    </w:p>
    <w:p w:rsidR="00404BBB" w:rsidRDefault="00404BBB" w:rsidP="00404BBB">
      <w:pPr>
        <w:tabs>
          <w:tab w:val="left" w:pos="915"/>
        </w:tabs>
      </w:pPr>
    </w:p>
    <w:p w:rsidR="00404BBB" w:rsidRDefault="00640661" w:rsidP="00404BBB">
      <w:pPr>
        <w:pStyle w:val="Prrafodelista"/>
        <w:numPr>
          <w:ilvl w:val="0"/>
          <w:numId w:val="1"/>
        </w:numPr>
        <w:tabs>
          <w:tab w:val="left" w:pos="915"/>
        </w:tabs>
      </w:pPr>
      <w:r>
        <w:t>Interpretación de los resultados</w:t>
      </w:r>
    </w:p>
    <w:p w:rsidR="00640661" w:rsidRDefault="00640661" w:rsidP="00640661">
      <w:pPr>
        <w:pStyle w:val="Prrafodelista"/>
        <w:numPr>
          <w:ilvl w:val="0"/>
          <w:numId w:val="8"/>
        </w:numPr>
        <w:tabs>
          <w:tab w:val="left" w:pos="915"/>
        </w:tabs>
      </w:pPr>
      <w:r>
        <w:t xml:space="preserve">De los 100 compradores entrevistados (no hay valores perdidos, todos han respondido) el 50% son hombres y el 50% mujeres. El modelo mayoritariamente adquirido es el modelo C (30% de los compradores), la siguen con igual proporción de compradores los modelos A y B (25%) y el modelo que menos han comprado es el modelo D (20%) </w:t>
      </w:r>
    </w:p>
    <w:p w:rsidR="00640661" w:rsidRDefault="00640661" w:rsidP="00640661">
      <w:pPr>
        <w:pStyle w:val="Prrafodelista"/>
        <w:numPr>
          <w:ilvl w:val="0"/>
          <w:numId w:val="8"/>
        </w:numPr>
        <w:tabs>
          <w:tab w:val="left" w:pos="915"/>
        </w:tabs>
      </w:pPr>
      <w:r>
        <w:t>En el USO gana el modelo familiar (62%)</w:t>
      </w:r>
    </w:p>
    <w:p w:rsidR="00640661" w:rsidRDefault="00640661" w:rsidP="00640661">
      <w:pPr>
        <w:pStyle w:val="Prrafodelista"/>
        <w:numPr>
          <w:ilvl w:val="0"/>
          <w:numId w:val="8"/>
        </w:numPr>
        <w:tabs>
          <w:tab w:val="left" w:pos="915"/>
        </w:tabs>
      </w:pPr>
      <w:r>
        <w:t>Los consumidores tienen una valoración mal</w:t>
      </w:r>
      <w:r w:rsidR="00AA5460">
        <w:t>a</w:t>
      </w:r>
      <w:r>
        <w:t xml:space="preserve"> o muy mala</w:t>
      </w:r>
    </w:p>
    <w:p w:rsidR="00640661" w:rsidRDefault="00640661" w:rsidP="00640661">
      <w:pPr>
        <w:pStyle w:val="Prrafodelista"/>
        <w:numPr>
          <w:ilvl w:val="0"/>
          <w:numId w:val="8"/>
        </w:numPr>
        <w:tabs>
          <w:tab w:val="left" w:pos="915"/>
        </w:tabs>
      </w:pPr>
      <w:r>
        <w:t xml:space="preserve">Edad media de los compradores es de 32,5 años, el precio medio de adquisición 27 380 euros y la renta per cápita media es de 75 885,4 euros, calculando los coeficientes y variación de cada una de ellas: </w:t>
      </w:r>
    </w:p>
    <w:p w:rsidR="00AA5460" w:rsidRDefault="00AA5460" w:rsidP="00AA5460">
      <w:pPr>
        <w:pStyle w:val="Prrafodelista"/>
        <w:tabs>
          <w:tab w:val="left" w:pos="915"/>
        </w:tabs>
        <w:ind w:left="2124"/>
      </w:pPr>
      <w:r>
        <w:t xml:space="preserve">     CV</w:t>
      </w:r>
      <w:r w:rsidRPr="00AA5460">
        <w:rPr>
          <w:vertAlign w:val="subscript"/>
        </w:rPr>
        <w:t xml:space="preserve"> EDAD</w:t>
      </w:r>
      <w:r>
        <w:t>:  3,14/32,52= 0,22</w:t>
      </w:r>
    </w:p>
    <w:p w:rsidR="00AA5460" w:rsidRDefault="00AA5460" w:rsidP="00AA5460">
      <w:pPr>
        <w:pStyle w:val="Prrafodelista"/>
        <w:tabs>
          <w:tab w:val="left" w:pos="915"/>
        </w:tabs>
        <w:ind w:left="2124"/>
      </w:pPr>
      <w:r>
        <w:t xml:space="preserve">     CV </w:t>
      </w:r>
      <w:r>
        <w:rPr>
          <w:vertAlign w:val="subscript"/>
        </w:rPr>
        <w:t>PVTA</w:t>
      </w:r>
      <w:r>
        <w:t>: 7259,50/27380= 0,26</w:t>
      </w:r>
    </w:p>
    <w:p w:rsidR="00AA5460" w:rsidRPr="00AA5460" w:rsidRDefault="00AA5460" w:rsidP="00AA5460">
      <w:pPr>
        <w:pStyle w:val="Prrafodelista"/>
        <w:tabs>
          <w:tab w:val="left" w:pos="915"/>
        </w:tabs>
        <w:ind w:left="2124"/>
      </w:pPr>
      <w:r>
        <w:t xml:space="preserve">     CV</w:t>
      </w:r>
      <w:r>
        <w:rPr>
          <w:vertAlign w:val="subscript"/>
        </w:rPr>
        <w:t>RPC</w:t>
      </w:r>
      <w:r>
        <w:t xml:space="preserve">:  </w:t>
      </w:r>
      <w:r w:rsidR="00974174">
        <w:t>20697,89/75885,4=0,27</w:t>
      </w:r>
    </w:p>
    <w:p w:rsidR="00AA5460" w:rsidRDefault="00AA5460" w:rsidP="008612EA">
      <w:pPr>
        <w:tabs>
          <w:tab w:val="left" w:pos="915"/>
        </w:tabs>
      </w:pPr>
    </w:p>
    <w:p w:rsidR="008612EA" w:rsidRDefault="008612EA" w:rsidP="008612EA">
      <w:pPr>
        <w:pStyle w:val="Prrafodelista"/>
        <w:numPr>
          <w:ilvl w:val="0"/>
          <w:numId w:val="1"/>
        </w:numPr>
        <w:tabs>
          <w:tab w:val="left" w:pos="915"/>
        </w:tabs>
      </w:pPr>
      <w:r>
        <w:t>Posibles selecciones entre variables</w:t>
      </w:r>
    </w:p>
    <w:p w:rsidR="008612EA" w:rsidRDefault="008612EA" w:rsidP="008612EA">
      <w:pPr>
        <w:pStyle w:val="Prrafodelista"/>
        <w:numPr>
          <w:ilvl w:val="0"/>
          <w:numId w:val="10"/>
        </w:numPr>
        <w:tabs>
          <w:tab w:val="left" w:pos="915"/>
        </w:tabs>
      </w:pPr>
      <w:r>
        <w:t>Parece que existe una relación entre género y modelo de coche comprado. El coche más comprado por las mujeres es el modelo C. El coche más comprado por los hombres es el modelo A. El modelo B también lo compran los hombres, aunque está más igualado. Y el modelo D lo compran por igual hombres y mujeres.</w:t>
      </w:r>
    </w:p>
    <w:p w:rsidR="008612EA" w:rsidRDefault="008612EA" w:rsidP="008612EA">
      <w:pPr>
        <w:pStyle w:val="Prrafodelista"/>
        <w:numPr>
          <w:ilvl w:val="0"/>
          <w:numId w:val="10"/>
        </w:numPr>
        <w:tabs>
          <w:tab w:val="left" w:pos="915"/>
        </w:tabs>
      </w:pPr>
      <w:r>
        <w:t xml:space="preserve">Parece que existe una relación entre modelo de coche y tipo de uso que se le da al mismo. El modelo D se compra exclusivamente para uso familiar. El modelo B </w:t>
      </w:r>
      <w:bookmarkStart w:id="0" w:name="_GoBack"/>
      <w:bookmarkEnd w:id="0"/>
      <w:r>
        <w:lastRenderedPageBreak/>
        <w:t>se compra exclusivamente para uso personal. Los modelos A y C se compran ambos usos, si bien prima el uso familiar, principalmente en el C</w:t>
      </w:r>
    </w:p>
    <w:p w:rsidR="008612EA" w:rsidRDefault="008612EA" w:rsidP="008612EA">
      <w:pPr>
        <w:pStyle w:val="Prrafodelista"/>
        <w:numPr>
          <w:ilvl w:val="0"/>
          <w:numId w:val="10"/>
        </w:numPr>
        <w:tabs>
          <w:tab w:val="left" w:pos="915"/>
        </w:tabs>
      </w:pPr>
      <w:r>
        <w:t xml:space="preserve">Parece que existe una relación entre modelo de coche y renta per cápita familiar. Las personas con mayor renta per cápita familiar compran el modelo D. Los compradores con menor renta parecen comprar el modelo C. </w:t>
      </w:r>
      <w:r w:rsidR="00FC522B">
        <w:t xml:space="preserve">Aquellas personas con una renta intermedia suelen comprar los modelos A o B. </w:t>
      </w:r>
    </w:p>
    <w:p w:rsidR="00FC522B" w:rsidRDefault="00FC522B" w:rsidP="00FC522B">
      <w:pPr>
        <w:tabs>
          <w:tab w:val="left" w:pos="915"/>
        </w:tabs>
        <w:ind w:left="915"/>
      </w:pPr>
    </w:p>
    <w:p w:rsidR="00FC522B" w:rsidRDefault="00FC522B" w:rsidP="00FC522B">
      <w:pPr>
        <w:pStyle w:val="Prrafodelista"/>
        <w:numPr>
          <w:ilvl w:val="0"/>
          <w:numId w:val="1"/>
        </w:numPr>
        <w:tabs>
          <w:tab w:val="left" w:pos="915"/>
        </w:tabs>
      </w:pPr>
      <w:r>
        <w:t>Conclusiones</w:t>
      </w:r>
    </w:p>
    <w:p w:rsidR="00FC522B" w:rsidRDefault="00FC522B" w:rsidP="00FC522B">
      <w:pPr>
        <w:pStyle w:val="Prrafodelista"/>
        <w:numPr>
          <w:ilvl w:val="1"/>
          <w:numId w:val="1"/>
        </w:numPr>
        <w:tabs>
          <w:tab w:val="left" w:pos="915"/>
        </w:tabs>
      </w:pPr>
      <w:r>
        <w:t>Los más ricos compran el modelo D, este modelo se usa exclusivamente con fin familiar, en proporción los compran en la misma proporción hombres y mujeres. Los que tienen menos renta suelen comprar el modelo C, y son la mayoría mujeres, y el uso es principalmente familiar</w:t>
      </w:r>
      <w:r w:rsidR="00A92480">
        <w:t>. El modelo B se emplea para uso personal y lo compran prácticamente la misma proporción hombres y mujeres.</w:t>
      </w:r>
    </w:p>
    <w:p w:rsidR="00A92480" w:rsidRDefault="00A92480" w:rsidP="00A92480">
      <w:pPr>
        <w:pStyle w:val="Prrafodelista"/>
        <w:tabs>
          <w:tab w:val="left" w:pos="915"/>
        </w:tabs>
        <w:ind w:left="1440"/>
      </w:pPr>
      <w:r>
        <w:t>La valoración de la marca es muy buena, el 86% están contentos o indiferentes ante ella</w:t>
      </w:r>
    </w:p>
    <w:p w:rsidR="00AA5460" w:rsidRDefault="00AA5460" w:rsidP="00AA5460">
      <w:pPr>
        <w:pStyle w:val="Prrafodelista"/>
        <w:tabs>
          <w:tab w:val="left" w:pos="915"/>
        </w:tabs>
        <w:ind w:left="2124"/>
      </w:pPr>
    </w:p>
    <w:p w:rsidR="00404BBB" w:rsidRDefault="00404BBB" w:rsidP="00404BBB">
      <w:pPr>
        <w:pStyle w:val="Prrafodelista"/>
        <w:tabs>
          <w:tab w:val="left" w:pos="915"/>
        </w:tabs>
        <w:ind w:left="2355"/>
      </w:pPr>
    </w:p>
    <w:p w:rsidR="00404BBB" w:rsidRPr="00404BBB" w:rsidRDefault="00404BBB" w:rsidP="00404BBB">
      <w:pPr>
        <w:pStyle w:val="Prrafodelista"/>
        <w:tabs>
          <w:tab w:val="left" w:pos="915"/>
        </w:tabs>
        <w:ind w:left="1635"/>
      </w:pPr>
    </w:p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p w:rsidR="007A04C2" w:rsidRPr="007A04C2" w:rsidRDefault="007A04C2" w:rsidP="007A04C2"/>
    <w:sectPr w:rsidR="007A04C2" w:rsidRPr="007A0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480"/>
    <w:multiLevelType w:val="hybridMultilevel"/>
    <w:tmpl w:val="917E295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1831F2"/>
    <w:multiLevelType w:val="hybridMultilevel"/>
    <w:tmpl w:val="B5947E7E"/>
    <w:lvl w:ilvl="0" w:tplc="0C0A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4F467669"/>
    <w:multiLevelType w:val="hybridMultilevel"/>
    <w:tmpl w:val="F4146F1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030F0F"/>
    <w:multiLevelType w:val="hybridMultilevel"/>
    <w:tmpl w:val="BB3445EE"/>
    <w:lvl w:ilvl="0" w:tplc="0C0A0019">
      <w:start w:val="1"/>
      <w:numFmt w:val="lowerLetter"/>
      <w:lvlText w:val="%1."/>
      <w:lvlJc w:val="left"/>
      <w:pPr>
        <w:ind w:left="1635" w:hanging="360"/>
      </w:pPr>
    </w:lvl>
    <w:lvl w:ilvl="1" w:tplc="0C0A0019" w:tentative="1">
      <w:start w:val="1"/>
      <w:numFmt w:val="lowerLetter"/>
      <w:lvlText w:val="%2."/>
      <w:lvlJc w:val="left"/>
      <w:pPr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606E16FE"/>
    <w:multiLevelType w:val="multilevel"/>
    <w:tmpl w:val="ABD8F0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CAC4B83"/>
    <w:multiLevelType w:val="hybridMultilevel"/>
    <w:tmpl w:val="1C2AEE72"/>
    <w:lvl w:ilvl="0" w:tplc="939E7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03B20"/>
    <w:multiLevelType w:val="hybridMultilevel"/>
    <w:tmpl w:val="E3A24742"/>
    <w:lvl w:ilvl="0" w:tplc="0C0A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73822567"/>
    <w:multiLevelType w:val="hybridMultilevel"/>
    <w:tmpl w:val="0B9E27CE"/>
    <w:lvl w:ilvl="0" w:tplc="0C0A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2" w:tplc="0C0A0009">
      <w:start w:val="1"/>
      <w:numFmt w:val="bullet"/>
      <w:lvlText w:val=""/>
      <w:lvlJc w:val="left"/>
      <w:pPr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7D324959"/>
    <w:multiLevelType w:val="hybridMultilevel"/>
    <w:tmpl w:val="FB769CBA"/>
    <w:lvl w:ilvl="0" w:tplc="0C0A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2" w:tplc="0C0A0009">
      <w:start w:val="1"/>
      <w:numFmt w:val="bullet"/>
      <w:lvlText w:val=""/>
      <w:lvlJc w:val="left"/>
      <w:pPr>
        <w:ind w:left="3075" w:hanging="18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7D3C2943"/>
    <w:multiLevelType w:val="hybridMultilevel"/>
    <w:tmpl w:val="61F6A3A2"/>
    <w:lvl w:ilvl="0" w:tplc="0C0A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D2"/>
    <w:rsid w:val="00404BBB"/>
    <w:rsid w:val="00481AD2"/>
    <w:rsid w:val="005D09EF"/>
    <w:rsid w:val="00640661"/>
    <w:rsid w:val="00794FB5"/>
    <w:rsid w:val="007A04C2"/>
    <w:rsid w:val="008612EA"/>
    <w:rsid w:val="00974174"/>
    <w:rsid w:val="00980F16"/>
    <w:rsid w:val="00A92480"/>
    <w:rsid w:val="00AA5460"/>
    <w:rsid w:val="00AC7CDE"/>
    <w:rsid w:val="00AD7292"/>
    <w:rsid w:val="00BA27DC"/>
    <w:rsid w:val="00BA72D6"/>
    <w:rsid w:val="00BE3BB2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DCB7"/>
  <w15:chartTrackingRefBased/>
  <w15:docId w15:val="{F98D9CEB-E896-401D-9B56-1CC0A17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3">
    <w:name w:val="Grid Table 4 Accent 3"/>
    <w:basedOn w:val="Tablanormal"/>
    <w:uiPriority w:val="49"/>
    <w:rsid w:val="00481A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7A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 Martinez</cp:lastModifiedBy>
  <cp:revision>10</cp:revision>
  <dcterms:created xsi:type="dcterms:W3CDTF">2017-03-14T08:21:00Z</dcterms:created>
  <dcterms:modified xsi:type="dcterms:W3CDTF">2017-03-29T22:35:00Z</dcterms:modified>
</cp:coreProperties>
</file>